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_rels/header1.xml.rels" ContentType="application/vnd.openxmlformats-package.relationships+xml"/>
  <Override PartName="/word/_rels/footer1.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4.jpeg" ContentType="image/jpeg"/>
  <Override PartName="/word/media/image2.png" ContentType="image/png"/>
  <Override PartName="/word/media/image3.png" ContentType="image/png"/>
  <Override PartName="/word/media/image5.jpeg" ContentType="image/jpeg"/>
  <Override PartName="/word/theme/theme1.xml" ContentType="application/vnd.openxmlformats-officedocument.theme+xml"/>
  <Override PartName="/word/header1.xml" ContentType="application/vnd.openxmlformats-officedocument.wordprocessingml.header+xml"/>
  <Override PartName="/word/fontTable.xml" ContentType="application/vnd.openxmlformats-officedocument.wordprocessingml.fontTable+xml"/>
  <Override PartName="/word/settings.xml" ContentType="application/vnd.openxmlformats-officedocument.wordprocessingml.setting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krper"/>
        <w:suppressAutoHyphens w:val="true"/>
        <w:jc w:val="both"/>
        <w:rPr>
          <w:rFonts w:cs="Arial"/>
          <w:color w:val="1A181C"/>
          <w:sz w:val="14"/>
          <w:szCs w:val="22"/>
        </w:rPr>
      </w:pPr>
      <w:r>
        <w:rPr>
          <w:b/>
          <w:color w:val="1A181C"/>
          <w:sz w:val="14"/>
        </w:rPr>
        <w:t xml:space="preserve">Editorial Contact: </w:t>
      </w:r>
      <w:r>
        <w:rPr>
          <w:color w:val="1A181C"/>
          <w:sz w:val="14"/>
        </w:rPr>
        <w:t>Gudrun Sieverding, Head of Marketing and Communication Centre</w:t>
      </w:r>
    </w:p>
    <w:p>
      <w:pPr>
        <w:pStyle w:val="Textkrper"/>
        <w:suppressAutoHyphens w:val="true"/>
        <w:jc w:val="both"/>
        <w:rPr>
          <w:rFonts w:cs="Arial"/>
        </w:rPr>
      </w:pPr>
      <w:r>
        <w:rPr>
          <w:color w:val="1A181C"/>
          <w:sz w:val="14"/>
        </w:rPr>
        <w:t>Phone +49 591 7108-132 - gudrun.sieverding@kampmann.de</w:t>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 w:val="6"/>
          <w:szCs w:val="6"/>
        </w:rPr>
      </w:pPr>
      <w:r>
        <w:rPr>
          <w:rFonts w:cs="Arial"/>
          <w:b/>
          <w:bCs/>
          <w:color w:val="000000"/>
          <w:sz w:val="6"/>
          <w:szCs w:val="6"/>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spacing w:lineRule="auto" w:line="360"/>
        <w:rPr>
          <w:rFonts w:cs="Arial"/>
        </w:rPr>
      </w:pPr>
      <w:r>
        <w:rPr>
          <w:b/>
          <w:sz w:val="26"/>
        </w:rPr>
        <w:t xml:space="preserve">P r e s s  R e l e a s e </w:t>
      </w:r>
    </w:p>
    <w:p>
      <w:pPr>
        <w:pStyle w:val="Normal"/>
        <w:suppressAutoHyphens w:val="true"/>
        <w:spacing w:lineRule="auto" w:line="360"/>
        <w:rPr>
          <w:rFonts w:cs="Arial"/>
          <w:b/>
          <w:b/>
          <w:bCs/>
          <w:sz w:val="26"/>
          <w:szCs w:val="26"/>
        </w:rPr>
      </w:pPr>
      <w:r>
        <w:rPr>
          <w:rFonts w:cs="Arial"/>
          <w:b/>
          <w:bCs/>
          <w:sz w:val="26"/>
          <w:szCs w:val="26"/>
        </w:rPr>
      </w:r>
    </w:p>
    <w:p>
      <w:pPr>
        <w:pStyle w:val="Normal"/>
        <w:suppressAutoHyphens w:val="true"/>
        <w:spacing w:lineRule="auto" w:line="360"/>
        <w:rPr>
          <w:rFonts w:cs="Arial"/>
          <w:b/>
          <w:b/>
          <w:bCs/>
          <w:sz w:val="26"/>
          <w:szCs w:val="26"/>
        </w:rPr>
      </w:pPr>
      <w:r>
        <w:rPr>
          <w:rFonts w:cs="Arial"/>
          <w:b/>
          <w:bCs/>
          <w:sz w:val="26"/>
          <w:szCs w:val="26"/>
        </w:rPr>
      </w:r>
    </w:p>
    <w:p>
      <w:pPr>
        <w:pStyle w:val="Textkrper"/>
        <w:suppressAutoHyphens w:val="true"/>
        <w:spacing w:lineRule="auto" w:line="360"/>
        <w:rPr>
          <w:b/>
          <w:b/>
          <w:color w:val="000000" w:themeColor="text1"/>
          <w:sz w:val="26"/>
          <w:szCs w:val="26"/>
        </w:rPr>
      </w:pPr>
      <w:r>
        <w:rPr>
          <w:b/>
          <w:color w:val="000000" w:themeColor="text1"/>
          <w:sz w:val="26"/>
        </w:rPr>
        <w:t xml:space="preserve">Kampmann launches its latest floor trench at the ISH 2017 </w:t>
      </w:r>
    </w:p>
    <w:p>
      <w:pPr>
        <w:pStyle w:val="Textkrper"/>
        <w:suppressAutoHyphens w:val="true"/>
        <w:spacing w:lineRule="auto" w:line="360"/>
        <w:rPr>
          <w:b/>
          <w:b/>
          <w:color w:val="000000"/>
          <w:sz w:val="20"/>
          <w:szCs w:val="20"/>
        </w:rPr>
      </w:pPr>
      <w:r>
        <w:rPr>
          <w:b/>
          <w:color w:val="000000"/>
          <w:sz w:val="20"/>
        </w:rPr>
        <w:t>The new Katherm QK nano is Kampmann's most compact floor trench. Only 70 mm in height and 165 mm wide, the Katherm QK nano makes maximum use of the available space. Ideal for large office complexes.</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color w:val="000000"/>
          <w:sz w:val="20"/>
          <w:szCs w:val="20"/>
        </w:rPr>
      </w:pPr>
      <w:r>
        <w:rPr>
          <w:sz w:val="20"/>
        </w:rPr>
        <w:t xml:space="preserve">ISH 2017, Frankfurt: </w:t>
      </w:r>
      <w:r>
        <w:rPr>
          <w:color w:val="000000"/>
          <w:sz w:val="20"/>
        </w:rPr>
        <w:t xml:space="preserve">Heaters in front of windows are often unacceptable for visual reasons in modern administration and residential buildings or other buildings with large areas of glazing, whilst users’ demands regarding the aesthetics of the space also increase at the same time. </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b/>
          <w:b/>
          <w:color w:val="000000"/>
          <w:sz w:val="20"/>
          <w:szCs w:val="20"/>
        </w:rPr>
      </w:pPr>
      <w:r>
        <w:rPr>
          <w:b/>
          <w:color w:val="000000"/>
          <w:sz w:val="20"/>
        </w:rPr>
        <w:t>Minimal dimensions coupled with high heat output</w:t>
      </w:r>
    </w:p>
    <w:p>
      <w:pPr>
        <w:pStyle w:val="Textkrper"/>
        <w:suppressAutoHyphens w:val="true"/>
        <w:spacing w:lineRule="auto" w:line="360" w:before="0" w:after="0"/>
        <w:rPr>
          <w:color w:val="000000"/>
          <w:sz w:val="20"/>
          <w:szCs w:val="20"/>
        </w:rPr>
      </w:pPr>
      <w:r>
        <w:rPr>
          <w:color w:val="000000"/>
          <w:sz w:val="20"/>
        </w:rPr>
        <w:t xml:space="preserve">Measuring only 70 mm in height and only 165 mm wide, the Katherm QK nano can be used in buildings where trench heaters are not generally considered due to the lack of space. </w:t>
      </w:r>
    </w:p>
    <w:p>
      <w:pPr>
        <w:pStyle w:val="Textkrper"/>
        <w:suppressAutoHyphens w:val="true"/>
        <w:spacing w:lineRule="auto" w:line="360" w:before="0" w:after="0"/>
        <w:rPr>
          <w:color w:val="000000"/>
          <w:sz w:val="20"/>
          <w:szCs w:val="20"/>
        </w:rPr>
      </w:pPr>
      <w:r>
        <w:rPr>
          <w:color w:val="000000"/>
          <w:sz w:val="20"/>
        </w:rPr>
        <w:t xml:space="preserve">Measurements and CFD simulations in Kampmann’s own FEC Research &amp; Development Centre have developed a trench heater that generates comfort with its high heat outputs and low sound levels. </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b/>
          <w:b/>
          <w:color w:val="000000"/>
          <w:sz w:val="20"/>
          <w:szCs w:val="20"/>
        </w:rPr>
      </w:pPr>
      <w:r>
        <w:rPr>
          <w:b/>
          <w:color w:val="000000"/>
          <w:sz w:val="20"/>
        </w:rPr>
        <w:t>Whether for new build or refurbishments</w:t>
      </w:r>
    </w:p>
    <w:p>
      <w:pPr>
        <w:pStyle w:val="Textkrper"/>
        <w:suppressAutoHyphens w:val="true"/>
        <w:spacing w:lineRule="auto" w:line="360"/>
        <w:rPr>
          <w:color w:val="000000"/>
          <w:sz w:val="20"/>
          <w:szCs w:val="20"/>
        </w:rPr>
      </w:pPr>
      <w:r>
        <w:rPr>
          <w:color w:val="000000"/>
          <w:sz w:val="20"/>
        </w:rPr>
        <w:t xml:space="preserve">The combination of a whisper-quiet EC tangential fan and high-output copper-aluminium convector generates an optimum indoor climate, combining high heat outputs and low noise levels. With the Katherm QK nano, air is drawn in by the fan and routed through the parallel convector. The convector, arranged on the window side, ensures optimum cold air screening of the window and the warm air is fed into the room without draughts for maximum comfort. </w:t>
      </w:r>
    </w:p>
    <w:p>
      <w:pPr>
        <w:pStyle w:val="Textkrper"/>
        <w:suppressAutoHyphens w:val="true"/>
        <w:spacing w:lineRule="auto" w:line="360" w:before="0" w:after="0"/>
        <w:rPr>
          <w:b/>
          <w:b/>
          <w:color w:val="000000"/>
          <w:sz w:val="20"/>
          <w:szCs w:val="20"/>
        </w:rPr>
      </w:pPr>
      <w:r>
        <w:rPr>
          <w:b/>
          <w:color w:val="000000"/>
          <w:sz w:val="20"/>
        </w:rPr>
        <w:t>Simple concept for individual integration</w:t>
      </w:r>
    </w:p>
    <w:p>
      <w:pPr>
        <w:pStyle w:val="Textkrper"/>
        <w:suppressAutoHyphens w:val="true"/>
        <w:spacing w:lineRule="auto" w:line="360" w:before="0" w:after="0"/>
        <w:rPr>
          <w:color w:val="000000"/>
          <w:sz w:val="20"/>
          <w:szCs w:val="20"/>
        </w:rPr>
      </w:pPr>
      <w:r>
        <w:rPr>
          <w:color w:val="000000"/>
          <w:sz w:val="20"/>
        </w:rPr>
        <w:t>Three different control configurations ensure the simple integration of the Katherm QK nano into individual control concepts. The space-saving 24 V version permits direct connection to an on-site building management system. An electromechanical control option using a room thermostat or alternatively the KaControl system are both available for continuously variable control with 230 V supply voltage. KaControl represents the system solution for maximum energy efficiency, limitless integration into building automation systems and the highest degree of user-friendly operation.</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rFonts w:cs="Arial"/>
          <w:b/>
          <w:b/>
          <w:sz w:val="20"/>
          <w:szCs w:val="20"/>
        </w:rPr>
      </w:pPr>
      <w:r>
        <w:rPr>
          <w:b/>
          <w:sz w:val="20"/>
        </w:rPr>
        <w:t>About Kampmann</w:t>
      </w:r>
    </w:p>
    <w:p>
      <w:pPr>
        <w:pStyle w:val="Textkrper"/>
        <w:suppressAutoHyphens w:val="true"/>
        <w:spacing w:lineRule="auto" w:line="360" w:before="0" w:after="0"/>
        <w:rPr>
          <w:rFonts w:cs="Arial"/>
          <w:sz w:val="20"/>
          <w:szCs w:val="20"/>
        </w:rPr>
      </w:pPr>
      <w:r>
        <w:rPr>
          <w:sz w:val="20"/>
        </w:rPr>
        <w:t xml:space="preserve">Kampmann GmbH is the market leader in trench heating and its name is synonymous with innovative product developments. The company has been serving its customers for over 45 years with individual solutions and intelligent systems. A wealth of technically pioneering developments in heating, cooling and ventilation have made Kampmann GmbH internationally successful. The company employs some 720 people worldwide. </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rPr>
          <w:color w:themeColor="text1"/>
        </w:rPr>
      </w:pPr>
      <w:r>
        <w:rPr>
          <w:i/>
          <w:color w:val="000000" w:themeColor="text1"/>
          <w:sz w:val="20"/>
        </w:rPr>
        <w:t>(380 words/2,481 characters)</w:t>
      </w:r>
    </w:p>
    <w:p>
      <w:pPr>
        <w:pStyle w:val="Textkrper"/>
        <w:suppressAutoHyphens w:val="true"/>
        <w:spacing w:lineRule="auto" w:line="360"/>
        <w:rPr>
          <w:i/>
          <w:i/>
          <w:color w:val="000000" w:themeColor="text1"/>
          <w:sz w:val="20"/>
          <w:szCs w:val="20"/>
        </w:rPr>
      </w:pPr>
      <w:r>
        <w:rPr>
          <w:i/>
          <w:color w:val="000000" w:themeColor="text1"/>
          <w:sz w:val="20"/>
          <w:szCs w:val="20"/>
        </w:rPr>
      </w:r>
    </w:p>
    <w:p>
      <w:pPr>
        <w:pStyle w:val="Textkrper"/>
        <w:suppressAutoHyphens w:val="true"/>
        <w:spacing w:lineRule="auto" w:line="360"/>
        <w:jc w:val="both"/>
        <w:rPr>
          <w:rFonts w:cs="Arial"/>
          <w:color w:val="000000"/>
          <w:sz w:val="20"/>
          <w:szCs w:val="20"/>
          <w:highlight w:val="yellow"/>
        </w:rPr>
      </w:pPr>
      <w:r>
        <w:rPr/>
        <w:drawing>
          <wp:inline distT="0" distB="0" distL="0" distR="0">
            <wp:extent cx="3220085" cy="1624965"/>
            <wp:effectExtent l="0" t="0" r="0" b="0"/>
            <wp:docPr id="1" name="Grafik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descr=""/>
                    <pic:cNvPicPr>
                      <a:picLocks noChangeAspect="1" noChangeArrowheads="1"/>
                    </pic:cNvPicPr>
                  </pic:nvPicPr>
                  <pic:blipFill>
                    <a:blip r:embed="rId2"/>
                    <a:stretch>
                      <a:fillRect/>
                    </a:stretch>
                  </pic:blipFill>
                  <pic:spPr bwMode="auto">
                    <a:xfrm>
                      <a:off x="0" y="0"/>
                      <a:ext cx="3220085" cy="1624965"/>
                    </a:xfrm>
                    <a:prstGeom prst="rect">
                      <a:avLst/>
                    </a:prstGeom>
                  </pic:spPr>
                </pic:pic>
              </a:graphicData>
            </a:graphic>
          </wp:inline>
        </w:drawing>
      </w:r>
      <w:r>
        <w:rPr/>
        <w:t xml:space="preserve"> </w:t>
      </w:r>
    </w:p>
    <w:p>
      <w:pPr>
        <w:pStyle w:val="Textkrper"/>
        <w:suppressAutoHyphens w:val="true"/>
        <w:spacing w:lineRule="auto" w:line="360"/>
        <w:jc w:val="both"/>
        <w:rPr/>
      </w:pPr>
      <w:r>
        <w:rPr>
          <w:b/>
          <w:sz w:val="20"/>
        </w:rPr>
        <w:t xml:space="preserve">Photo 1 </w:t>
      </w:r>
      <w:r>
        <w:rPr>
          <w:i/>
          <w:sz w:val="20"/>
        </w:rPr>
        <w:t>(KathermQK_nano_Detail.jpg)</w:t>
      </w:r>
    </w:p>
    <w:p>
      <w:pPr>
        <w:pStyle w:val="Textkrper"/>
        <w:suppressAutoHyphens w:val="true"/>
        <w:spacing w:lineRule="auto" w:line="360"/>
        <w:rPr/>
      </w:pPr>
      <w:r>
        <w:rPr>
          <w:color w:val="000000" w:themeColor="text1"/>
          <w:sz w:val="20"/>
        </w:rPr>
        <w:t>The airflow-optimised air routing with façade-side air outlet ensures maximum comfort in the room. With guaranteed output measured in accordance with EN 16430.</w:t>
      </w:r>
    </w:p>
    <w:p>
      <w:pPr>
        <w:pStyle w:val="Textkrper"/>
        <w:suppressAutoHyphens w:val="true"/>
        <w:spacing w:lineRule="auto" w:line="360"/>
        <w:jc w:val="both"/>
        <w:rPr>
          <w:rFonts w:cs="Arial"/>
          <w:color w:val="000000"/>
          <w:sz w:val="20"/>
          <w:szCs w:val="20"/>
        </w:rPr>
      </w:pPr>
      <w:r>
        <w:rPr/>
        <w:drawing>
          <wp:inline distT="0" distB="0" distL="0" distR="0">
            <wp:extent cx="2449195" cy="2329815"/>
            <wp:effectExtent l="0" t="0" r="0" b="0"/>
            <wp:docPr id="2"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descr=""/>
                    <pic:cNvPicPr>
                      <a:picLocks noChangeAspect="1" noChangeArrowheads="1"/>
                    </pic:cNvPicPr>
                  </pic:nvPicPr>
                  <pic:blipFill>
                    <a:blip r:embed="rId3"/>
                    <a:stretch>
                      <a:fillRect/>
                    </a:stretch>
                  </pic:blipFill>
                  <pic:spPr bwMode="auto">
                    <a:xfrm>
                      <a:off x="0" y="0"/>
                      <a:ext cx="2449195" cy="2329815"/>
                    </a:xfrm>
                    <a:prstGeom prst="rect">
                      <a:avLst/>
                    </a:prstGeom>
                  </pic:spPr>
                </pic:pic>
              </a:graphicData>
            </a:graphic>
          </wp:inline>
        </w:drawing>
      </w:r>
    </w:p>
    <w:p>
      <w:pPr>
        <w:pStyle w:val="Textkrper"/>
        <w:suppressAutoHyphens w:val="true"/>
        <w:spacing w:lineRule="auto" w:line="360"/>
        <w:jc w:val="both"/>
        <w:rPr>
          <w:rFonts w:cs="Arial"/>
          <w:color w:val="000000" w:themeColor="text1"/>
        </w:rPr>
      </w:pPr>
      <w:r>
        <w:rPr>
          <w:b/>
          <w:color w:val="000000" w:themeColor="text1"/>
          <w:sz w:val="20"/>
        </w:rPr>
        <w:t xml:space="preserve">Photo 2 </w:t>
      </w:r>
      <w:r>
        <w:rPr>
          <w:i/>
          <w:color w:val="000000" w:themeColor="text1"/>
          <w:sz w:val="20"/>
        </w:rPr>
        <w:t>(Ref_KathermQK_nano2.jpg)</w:t>
      </w:r>
    </w:p>
    <w:p>
      <w:pPr>
        <w:pStyle w:val="Textkrper"/>
        <w:suppressAutoHyphens w:val="true"/>
        <w:spacing w:lineRule="auto" w:line="360"/>
        <w:jc w:val="both"/>
        <w:rPr>
          <w:rFonts w:cs="Arial"/>
          <w:color w:val="000000" w:themeColor="text1"/>
          <w:sz w:val="20"/>
          <w:szCs w:val="20"/>
        </w:rPr>
      </w:pPr>
      <w:r>
        <w:rPr>
          <w:color w:val="000000" w:themeColor="text1"/>
          <w:sz w:val="20"/>
        </w:rPr>
        <w:t>Thanks to its minimal trench dimensions, the Katherm QK nano makes maximum use of the available space. Ideal for large office complexes.</w:t>
      </w:r>
    </w:p>
    <w:p>
      <w:pPr>
        <w:pStyle w:val="Textkrper"/>
        <w:suppressAutoHyphens w:val="true"/>
        <w:spacing w:lineRule="auto" w:line="360"/>
        <w:jc w:val="both"/>
        <w:rPr>
          <w:rFonts w:cs="Arial"/>
          <w:color w:val="FF0000"/>
          <w:sz w:val="20"/>
          <w:szCs w:val="20"/>
        </w:rPr>
      </w:pPr>
      <w:r>
        <w:rPr>
          <w:rFonts w:cs="Arial"/>
          <w:color w:val="FF0000"/>
          <w:sz w:val="20"/>
          <w:szCs w:val="20"/>
        </w:rPr>
      </w:r>
    </w:p>
    <w:p>
      <w:pPr>
        <w:pStyle w:val="Textkrper"/>
        <w:suppressAutoHyphens w:val="true"/>
        <w:spacing w:lineRule="auto" w:line="360"/>
        <w:jc w:val="both"/>
        <w:rPr>
          <w:rFonts w:cs="Arial"/>
          <w:color w:val="000000"/>
          <w:sz w:val="20"/>
          <w:szCs w:val="20"/>
        </w:rPr>
      </w:pPr>
      <w:r>
        <w:rPr/>
        <w:drawing>
          <wp:inline distT="0" distB="0" distL="0" distR="0">
            <wp:extent cx="2448560" cy="1786890"/>
            <wp:effectExtent l="0" t="0" r="0" b="0"/>
            <wp:docPr id="3" name="Grafi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descr=""/>
                    <pic:cNvPicPr>
                      <a:picLocks noChangeAspect="1" noChangeArrowheads="1"/>
                    </pic:cNvPicPr>
                  </pic:nvPicPr>
                  <pic:blipFill>
                    <a:blip r:embed="rId4"/>
                    <a:stretch>
                      <a:fillRect/>
                    </a:stretch>
                  </pic:blipFill>
                  <pic:spPr bwMode="auto">
                    <a:xfrm>
                      <a:off x="0" y="0"/>
                      <a:ext cx="2448560" cy="1786890"/>
                    </a:xfrm>
                    <a:prstGeom prst="rect">
                      <a:avLst/>
                    </a:prstGeom>
                  </pic:spPr>
                </pic:pic>
              </a:graphicData>
            </a:graphic>
          </wp:inline>
        </w:drawing>
      </w:r>
    </w:p>
    <w:p>
      <w:pPr>
        <w:pStyle w:val="Textkrper"/>
        <w:suppressAutoHyphens w:val="true"/>
        <w:spacing w:lineRule="auto" w:line="360"/>
        <w:jc w:val="both"/>
        <w:rPr>
          <w:rFonts w:cs="Arial"/>
          <w:color w:val="000000" w:themeColor="text1"/>
        </w:rPr>
      </w:pPr>
      <w:r>
        <w:rPr>
          <w:b/>
          <w:color w:val="000000" w:themeColor="text1"/>
          <w:sz w:val="20"/>
        </w:rPr>
        <w:t>Photo 3</w:t>
      </w:r>
      <w:r>
        <w:rPr>
          <w:color w:val="000000" w:themeColor="text1"/>
          <w:sz w:val="20"/>
        </w:rPr>
        <w:t xml:space="preserve"> </w:t>
      </w:r>
      <w:r>
        <w:rPr>
          <w:i/>
          <w:color w:val="000000" w:themeColor="text1"/>
          <w:sz w:val="20"/>
        </w:rPr>
        <w:t>(Ref_KathermQK_nano1.jpg)</w:t>
      </w:r>
    </w:p>
    <w:p>
      <w:pPr>
        <w:pStyle w:val="Textkrper"/>
        <w:suppressAutoHyphens w:val="true"/>
        <w:spacing w:lineRule="auto" w:line="360"/>
        <w:rPr>
          <w:rFonts w:cs="Arial"/>
          <w:color w:val="000000" w:themeColor="text1"/>
          <w:sz w:val="20"/>
          <w:szCs w:val="20"/>
        </w:rPr>
      </w:pPr>
      <w:r>
        <w:rPr>
          <w:color w:val="000000" w:themeColor="text1"/>
          <w:sz w:val="20"/>
        </w:rPr>
        <w:t>Whether for new build or refurbishments. The combination of a whisper-quiet EC tangential fan and high-output copper-aluminium convector generates an optimum indoor climate as well as high heat outputs and low noise levels.</w:t>
      </w:r>
    </w:p>
    <w:p>
      <w:pPr>
        <w:pStyle w:val="Textkrper"/>
        <w:suppressAutoHyphens w:val="true"/>
        <w:spacing w:lineRule="auto" w:line="360" w:before="0" w:after="0"/>
        <w:jc w:val="both"/>
        <w:rPr>
          <w:rFonts w:cs="Arial"/>
          <w:color w:val="000000"/>
          <w:sz w:val="20"/>
          <w:szCs w:val="20"/>
        </w:rPr>
      </w:pPr>
      <w:r>
        <w:rPr>
          <w:rFonts w:cs="Arial"/>
          <w:color w:val="000000"/>
          <w:sz w:val="20"/>
          <w:szCs w:val="20"/>
        </w:rPr>
      </w:r>
    </w:p>
    <w:p>
      <w:pPr>
        <w:pStyle w:val="Textkrper"/>
        <w:suppressAutoHyphens w:val="true"/>
        <w:spacing w:lineRule="auto" w:line="360" w:before="0" w:after="0"/>
        <w:jc w:val="both"/>
        <w:rPr>
          <w:rFonts w:cs="Arial"/>
          <w:color w:val="000000"/>
          <w:sz w:val="20"/>
          <w:szCs w:val="20"/>
        </w:rPr>
      </w:pPr>
      <w:r>
        <w:rPr>
          <w:color w:val="000000"/>
          <w:sz w:val="20"/>
        </w:rPr>
        <w:t xml:space="preserve">Publication and reprint free of charge; </w:t>
      </w:r>
    </w:p>
    <w:p>
      <w:pPr>
        <w:pStyle w:val="Textkrper"/>
        <w:suppressAutoHyphens w:val="true"/>
        <w:spacing w:lineRule="auto" w:line="360" w:before="0" w:after="0"/>
        <w:jc w:val="both"/>
        <w:rPr>
          <w:rFonts w:cs="Arial"/>
          <w:sz w:val="20"/>
          <w:szCs w:val="20"/>
        </w:rPr>
      </w:pPr>
      <w:r>
        <w:rPr>
          <w:sz w:val="20"/>
        </w:rPr>
        <w:t>Source: Kampmann GmbH</w:t>
      </w:r>
    </w:p>
    <w:p>
      <w:pPr>
        <w:pStyle w:val="Textkrper"/>
        <w:suppressAutoHyphens w:val="true"/>
        <w:spacing w:lineRule="auto" w:line="360" w:before="0" w:after="0"/>
        <w:rPr>
          <w:rFonts w:cs="Arial"/>
          <w:sz w:val="20"/>
          <w:szCs w:val="20"/>
        </w:rPr>
      </w:pPr>
      <w:r>
        <w:rPr>
          <w:sz w:val="20"/>
        </w:rPr>
        <w:t> </w:t>
      </w:r>
    </w:p>
    <w:p>
      <w:pPr>
        <w:pStyle w:val="Textkrper"/>
        <w:suppressAutoHyphens w:val="true"/>
        <w:spacing w:lineRule="auto" w:line="360" w:before="0" w:after="0"/>
        <w:rPr>
          <w:rFonts w:cs="Arial"/>
        </w:rPr>
      </w:pPr>
      <w:r>
        <w:rPr>
          <w:sz w:val="20"/>
        </w:rPr>
        <w:t>Please send a copy to:</w:t>
      </w:r>
    </w:p>
    <w:p>
      <w:pPr>
        <w:pStyle w:val="Textkrper"/>
        <w:suppressAutoHyphens w:val="true"/>
        <w:spacing w:lineRule="auto" w:line="360" w:before="0" w:after="0"/>
        <w:rPr>
          <w:rFonts w:cs="Arial"/>
          <w:sz w:val="20"/>
          <w:szCs w:val="20"/>
        </w:rPr>
      </w:pPr>
      <w:r>
        <w:rPr>
          <w:sz w:val="20"/>
        </w:rPr>
        <w:t xml:space="preserve">Kampmann GmbH, Gudrun Sieverding, </w:t>
      </w:r>
    </w:p>
    <w:p>
      <w:pPr>
        <w:pStyle w:val="Textkrper"/>
        <w:suppressAutoHyphens w:val="true"/>
        <w:spacing w:lineRule="auto" w:line="360" w:before="0" w:after="0"/>
        <w:rPr>
          <w:rFonts w:cs="Arial"/>
          <w:sz w:val="20"/>
          <w:szCs w:val="20"/>
        </w:rPr>
      </w:pPr>
      <w:r>
        <w:rPr>
          <w:sz w:val="20"/>
        </w:rPr>
        <w:t xml:space="preserve">Friedrich-Ebert-Straße 128 – 130, </w:t>
      </w:r>
    </w:p>
    <w:p>
      <w:pPr>
        <w:pStyle w:val="Textkrper"/>
        <w:suppressAutoHyphens w:val="true"/>
        <w:spacing w:lineRule="auto" w:line="360" w:before="0" w:after="0"/>
        <w:jc w:val="both"/>
        <w:rPr/>
      </w:pPr>
      <w:r>
        <w:rPr>
          <w:sz w:val="20"/>
        </w:rPr>
        <w:t>49811 Lingen, Germany</w:t>
      </w:r>
    </w:p>
    <w:sectPr>
      <w:headerReference w:type="default" r:id="rId5"/>
      <w:footerReference w:type="default" r:id="rId6"/>
      <w:type w:val="nextPage"/>
      <w:pgSz w:w="11906" w:h="16838"/>
      <w:pgMar w:left="1134" w:right="3977" w:header="0" w:top="1655" w:footer="11" w:bottom="1599" w:gutter="0"/>
      <w:pgNumType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horndale">
    <w:altName w:val="Times New Roman"/>
    <w:charset w:val="00"/>
    <w:family w:val="roman"/>
    <w:pitch w:val="variable"/>
  </w:font>
  <w:font w:name="Arial">
    <w:charset w:val="00"/>
    <w:family w:val="roman"/>
    <w:pitch w:val="variable"/>
  </w:font>
  <w:font w:name="StarSymbol">
    <w:altName w:val="Arial Unicode MS"/>
    <w:charset w:val="00"/>
    <w:family w:val="roman"/>
    <w:pitch w:val="variable"/>
  </w:font>
  <w:font w:name="Albany">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sz w:val="14"/>
        <w:szCs w:val="14"/>
      </w:rPr>
    </w:pPr>
    <w:r>
      <w:rPr>
        <w:sz w:val="14"/>
        <w:szCs w:val="14"/>
      </w:rPr>
      <w:drawing>
        <wp:anchor behindDoc="1" distT="0" distB="0" distL="0" distR="2540" simplePos="0" locked="0" layoutInCell="1" allowOverlap="1" relativeHeight="7">
          <wp:simplePos x="0" y="0"/>
          <wp:positionH relativeFrom="page">
            <wp:align>right</wp:align>
          </wp:positionH>
          <wp:positionV relativeFrom="page">
            <wp:align>bottom</wp:align>
          </wp:positionV>
          <wp:extent cx="7560310" cy="864235"/>
          <wp:effectExtent l="0" t="0" r="0" b="0"/>
          <wp:wrapTopAndBottom/>
          <wp:docPr id="5"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descr=""/>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drawing>
        <wp:anchor behindDoc="1" distT="0" distB="0" distL="0" distR="0" simplePos="0" locked="0" layoutInCell="1" allowOverlap="1" relativeHeight="4">
          <wp:simplePos x="0" y="0"/>
          <wp:positionH relativeFrom="page">
            <wp:align>center</wp:align>
          </wp:positionH>
          <wp:positionV relativeFrom="page">
            <wp:align>top</wp:align>
          </wp:positionV>
          <wp:extent cx="7560310" cy="791845"/>
          <wp:effectExtent l="0" t="0" r="0" b="0"/>
          <wp:wrapTopAndBottom/>
          <wp:docPr id="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settings.xml><?xml version="1.0" encoding="utf-8"?>
<w:settings xmlns:w="http://schemas.openxmlformats.org/wordprocessingml/2006/main">
  <w:zoom w:percent="120"/>
  <w:defaultTabStop w:val="720"/>
  <w:autoHyphenation w:val="fals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horndale" w:hAnsi="Thorndale" w:eastAsia="Andale Sans UI" w:cs="Tahoma"/>
        <w:szCs w:val="24"/>
        <w:lang w:val="en-GB" w:eastAsia="en-GB" w:bidi="en-GB"/>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val="false"/>
      <w:suppressAutoHyphens w:val="true"/>
      <w:bidi w:val="0"/>
      <w:jc w:val="left"/>
    </w:pPr>
    <w:rPr>
      <w:rFonts w:ascii="Arial" w:hAnsi="Arial" w:eastAsia="Andale Sans UI" w:cs="Tahoma"/>
      <w:color w:val="00000A"/>
      <w:sz w:val="22"/>
      <w:szCs w:val="24"/>
      <w:lang w:val="en-GB" w:eastAsia="en-GB" w:bidi="en-GB"/>
    </w:rPr>
  </w:style>
  <w:style w:type="paragraph" w:styleId="Berschrift1">
    <w:name w:val="Überschrift 1"/>
    <w:basedOn w:val="Berschrift"/>
    <w:qFormat/>
    <w:pPr>
      <w:outlineLvl w:val="0"/>
    </w:pPr>
    <w:rPr>
      <w:b/>
      <w:bCs/>
      <w:sz w:val="32"/>
      <w:szCs w:val="32"/>
    </w:rPr>
  </w:style>
  <w:style w:type="paragraph" w:styleId="Berschrift2">
    <w:name w:val="Überschrift 2"/>
    <w:basedOn w:val="Berschrift"/>
    <w:qFormat/>
    <w:pPr>
      <w:outlineLvl w:val="1"/>
    </w:pPr>
    <w:rPr>
      <w:b/>
      <w:bCs/>
      <w:i/>
      <w:iCs/>
    </w:rPr>
  </w:style>
  <w:style w:type="paragraph" w:styleId="Berschrift3">
    <w:name w:val="Überschrift 3"/>
    <w:basedOn w:val="Berschrift"/>
    <w:qFormat/>
    <w:pPr>
      <w:outlineLvl w:val="2"/>
    </w:pPr>
    <w:rPr>
      <w:b/>
      <w:bCs/>
    </w:rPr>
  </w:style>
  <w:style w:type="character" w:styleId="DefaultParagraphFont" w:default="1">
    <w:name w:val="Default Paragraph Font"/>
    <w:uiPriority w:val="1"/>
    <w:semiHidden/>
    <w:unhideWhenUsed/>
    <w:qFormat/>
    <w:rPr/>
  </w:style>
  <w:style w:type="character" w:styleId="Footnotereference">
    <w:name w:val="footnote reference"/>
    <w:qFormat/>
    <w:rPr/>
  </w:style>
  <w:style w:type="character" w:styleId="Aufzhlungszeichen1" w:customStyle="1">
    <w:name w:val="Aufzählungszeichen1"/>
    <w:qFormat/>
    <w:rPr>
      <w:rFonts w:ascii="StarSymbol" w:hAnsi="StarSymbol" w:eastAsia="StarSymbol" w:cs="StarSymbol"/>
      <w:sz w:val="18"/>
      <w:szCs w:val="18"/>
    </w:rPr>
  </w:style>
  <w:style w:type="character" w:styleId="Internetlink" w:customStyle="1">
    <w:name w:val="Internetlink"/>
    <w:basedOn w:val="DefaultParagraphFont"/>
    <w:uiPriority w:val="99"/>
    <w:unhideWhenUsed/>
    <w:rsid w:val="00de5bf1"/>
    <w:rPr>
      <w:color w:val="0563C1" w:themeColor="hyperlink"/>
      <w:u w:val="single"/>
    </w:rPr>
  </w:style>
  <w:style w:type="character" w:styleId="BesuchterInternetlink" w:customStyle="1">
    <w:name w:val="Besuchter Internetlink"/>
    <w:rPr>
      <w:color w:val="800000"/>
      <w:u w:val="single"/>
    </w:rPr>
  </w:style>
  <w:style w:type="character" w:styleId="Endnotereference">
    <w:name w:val="endnote reference"/>
    <w:qFormat/>
    <w:rPr/>
  </w:style>
  <w:style w:type="character" w:styleId="ListLabel1" w:customStyle="1">
    <w:name w:val="ListLabel 1"/>
    <w:qFormat/>
    <w:rPr>
      <w:rFonts w:eastAsia="Andale Sans UI" w:cs="Arial"/>
    </w:rPr>
  </w:style>
  <w:style w:type="character" w:styleId="ListLabel2" w:customStyle="1">
    <w:name w:val="ListLabel 2"/>
    <w:qFormat/>
    <w:rPr>
      <w:rFonts w:cs="Courier New"/>
    </w:rPr>
  </w:style>
  <w:style w:type="paragraph" w:styleId="Berschrift" w:customStyle="1">
    <w:name w:val="Überschrift"/>
    <w:basedOn w:val="Normal"/>
    <w:next w:val="Textkrper"/>
    <w:qFormat/>
    <w:pPr>
      <w:keepNext/>
      <w:spacing w:before="240" w:after="120"/>
    </w:pPr>
    <w:rPr>
      <w:rFonts w:ascii="Albany" w:hAnsi="Albany" w:eastAsia="MS Mincho"/>
      <w:sz w:val="28"/>
      <w:szCs w:val="28"/>
    </w:rPr>
  </w:style>
  <w:style w:type="paragraph" w:styleId="Textkrper">
    <w:name w:val="Textkörper"/>
    <w:basedOn w:val="Normal"/>
    <w:pPr>
      <w:spacing w:before="0" w:after="120"/>
    </w:pPr>
    <w:rPr/>
  </w:style>
  <w:style w:type="paragraph" w:styleId="Liste">
    <w:name w:val="Liste"/>
    <w:basedOn w:val="Textkrper"/>
    <w:pPr/>
    <w:rPr/>
  </w:style>
  <w:style w:type="paragraph" w:styleId="Beschriftung">
    <w:name w:val="Beschriftung"/>
    <w:basedOn w:val="Normal"/>
    <w:qFormat/>
    <w:pPr>
      <w:suppressLineNumbers/>
      <w:spacing w:before="120" w:after="120"/>
    </w:pPr>
    <w:rPr>
      <w:rFonts w:cs="Mangal"/>
      <w:i/>
      <w:iCs/>
      <w:sz w:val="24"/>
      <w:szCs w:val="24"/>
    </w:rPr>
  </w:style>
  <w:style w:type="paragraph" w:styleId="Verzeichnis" w:customStyle="1">
    <w:name w:val="Verzeichnis"/>
    <w:basedOn w:val="Normal"/>
    <w:qFormat/>
    <w:pPr>
      <w:suppressLineNumbers/>
    </w:pPr>
    <w:rPr/>
  </w:style>
  <w:style w:type="paragraph" w:styleId="Caption">
    <w:name w:val="caption"/>
    <w:basedOn w:val="Normal"/>
    <w:qFormat/>
    <w:pPr>
      <w:suppressLineNumbers/>
      <w:spacing w:before="120" w:after="120"/>
    </w:pPr>
    <w:rPr>
      <w:i/>
      <w:iCs/>
      <w:sz w:val="20"/>
      <w:szCs w:val="20"/>
    </w:rPr>
  </w:style>
  <w:style w:type="paragraph" w:styleId="Kopfzeile">
    <w:name w:val="Kopfzeile"/>
    <w:basedOn w:val="Normal"/>
    <w:pPr>
      <w:suppressLineNumbers/>
      <w:tabs>
        <w:tab w:val="center" w:pos="4818" w:leader="none"/>
        <w:tab w:val="right" w:pos="9637" w:leader="none"/>
      </w:tabs>
    </w:pPr>
    <w:rPr>
      <w:sz w:val="20"/>
    </w:rPr>
  </w:style>
  <w:style w:type="paragraph" w:styleId="Fuzeile">
    <w:name w:val="Fußzeile"/>
    <w:basedOn w:val="Normal"/>
    <w:pPr>
      <w:suppressLineNumbers/>
      <w:tabs>
        <w:tab w:val="center" w:pos="5103" w:leader="none"/>
        <w:tab w:val="right" w:pos="10206" w:leader="none"/>
      </w:tabs>
    </w:pPr>
    <w:rPr/>
  </w:style>
  <w:style w:type="paragraph" w:styleId="Rahmeninhalt" w:customStyle="1">
    <w:name w:val="Rahmeninhalt"/>
    <w:basedOn w:val="Textkrper"/>
    <w:qFormat/>
    <w:pPr/>
    <w:rPr/>
  </w:style>
  <w:style w:type="paragraph" w:styleId="Betreffzeile" w:customStyle="1">
    <w:name w:val="Betreffzeile"/>
    <w:basedOn w:val="Normal"/>
    <w:next w:val="Normal"/>
    <w:qFormat/>
    <w:pPr>
      <w:shd w:val="clear" w:color="auto" w:fill="FFFFFF"/>
    </w:pPr>
    <w:rPr>
      <w:b/>
    </w:rPr>
  </w:style>
  <w:style w:type="paragraph" w:styleId="TabellenInhalt" w:customStyle="1">
    <w:name w:val="Tabellen Inhalt"/>
    <w:basedOn w:val="Normal"/>
    <w:qFormat/>
    <w:pPr>
      <w:suppressLineNumbers/>
    </w:pPr>
    <w:rPr/>
  </w:style>
  <w:style w:type="paragraph" w:styleId="Tabellenberschrift" w:customStyle="1">
    <w:name w:val="Tabellen Überschrift"/>
    <w:basedOn w:val="TabellenInhalt"/>
    <w:qFormat/>
    <w:pPr>
      <w:jc w:val="center"/>
    </w:pPr>
    <w:rPr>
      <w:b/>
      <w:bCs/>
    </w:rPr>
  </w:style>
  <w:style w:type="paragraph" w:styleId="Quotations" w:customStyle="1">
    <w:name w:val="Quotations"/>
    <w:basedOn w:val="Normal"/>
    <w:qFormat/>
    <w:pPr>
      <w:spacing w:before="0" w:after="283"/>
      <w:ind w:left="567" w:right="567" w:hanging="0"/>
    </w:pPr>
    <w:rPr/>
  </w:style>
  <w:style w:type="numbering" w:styleId="NoList" w:default="1">
    <w:name w:val="No List"/>
    <w:uiPriority w:val="99"/>
    <w:semiHidden/>
    <w:unhideWhenUsed/>
    <w:qFormat/>
  </w:style>
  <w:style w:type="numbering" w:styleId="RTFNum2" w:customStyle="1">
    <w:name w:val="RTF_Num 2"/>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Relationship Id="rId10" Type="http://schemas.openxmlformats.org/officeDocument/2006/relationships/customXml" Target="../customXml/item1.xml"/>
</Relationships>
</file>

<file path=word/_rels/footer1.xml.rels><?xml version="1.0" encoding="UTF-8"?>
<Relationships xmlns="http://schemas.openxmlformats.org/package/2006/relationships"><Relationship Id="rId1" Type="http://schemas.openxmlformats.org/officeDocument/2006/relationships/image" Target="media/image5.jpeg"/>
</Relationships>
</file>

<file path=word/_rels/header1.xml.rels><?xml version="1.0" encoding="UTF-8"?>
<Relationships xmlns="http://schemas.openxmlformats.org/package/2006/relationships"><Relationship Id="rId1" Type="http://schemas.openxmlformats.org/officeDocument/2006/relationships/image" Target="media/image4.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AF78A7-5F68-4424-B3D6-BD6746165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Application>LibreOffice/5.0.4.2$Windows_x86 LibreOffice_project/2b9802c1994aa0b7dc6079e128979269cf95bc78</Application>
  <Paragraphs>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2017-03-09T09:25:00Z</dcterms:created>
  <dc:creator>Matthes, Jan</dc:creator>
  <dc:language>de-DE</dc:language>
  <cp:lastPrinted>2015-03-05T12:47:00Z</cp:lastPrinted>
  <dcterms:modified xsi:type="dcterms:W3CDTF">2017-04-13T11:17:47Z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